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/>
      </w:pPr>
      <w:r w:rsidDel="00000000" w:rsidR="00000000" w:rsidRPr="00000000">
        <w:rPr>
          <w:color w:val="212a35"/>
          <w:rtl w:val="0"/>
        </w:rPr>
        <w:t xml:space="preserve">       6° BÁSICO.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4500"/>
        <w:gridCol w:w="4245"/>
        <w:tblGridChange w:id="0">
          <w:tblGrid>
            <w:gridCol w:w="1110"/>
            <w:gridCol w:w="4500"/>
            <w:gridCol w:w="424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9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6°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básico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6°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básico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Aros Ula-ula 70 cm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100 hojas con separadores, marcado con el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(aristos) amarillo.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de sinónimos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antónimos.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Caligrafix horizontal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6° básico.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tamaño carta cuadriculada para dictados y vocabulario.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Plumones de pizarra (azul, negro o rojo)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Transportador.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Escuadra de 20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Calculadora.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pocket inglés – español.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Ciencias Naturales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righ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ia y Geografía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Croquera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hoja blanca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 Music / Philoso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cuadriculado 100 hojas, 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una caja de 14 litros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acordeón A4.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Cartulina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pasta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Scotch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1" w:lineRule="auto"/>
              <w:ind w:left="1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de goma eva de colores. (con adhesivo)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before="45" w:lineRule="auto"/>
              <w:ind w:left="5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spacing w:before="41" w:lineRule="auto"/>
              <w:ind w:left="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Sobre cartulinas de colores.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C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cartulina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española.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Pliegos papel lustre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90">
            <w:pPr>
              <w:spacing w:before="20" w:line="276" w:lineRule="auto"/>
              <w:ind w:lef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Pliegos papel kraft.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Libros a elección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Resma de hojas, tamaño carta, hoja blanca.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Plasticina 12 colores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Paquete de toallas húmedas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Caja de pañuelos desechables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before="4" w:lineRule="auto"/>
              <w:ind w:left="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Barras de silicona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</w:tbl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6° básico. Editoral SM.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 editorial SM (texto+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6°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matemática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6° básico. Editorial SM.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6° básico. Editorial SM.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Inglés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Young Voyagers 6. Editorial 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2024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83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s5ifiwK4TcVCAS/AwuMRZdQEg==">CgMxLjA4AHIhMUNXZVMtNWNEc1dPenlrVU9LNUFuQ1pUY2NzYV9raUdn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2023-12-09T12:55:00Z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